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1E" w:rsidRPr="007A103B" w:rsidRDefault="0054441E" w:rsidP="007A103B">
      <w:pPr>
        <w:pStyle w:val="ConsPlusTitle"/>
        <w:rPr>
          <w:rFonts w:ascii="Times New Roman" w:hAnsi="Times New Roman" w:cs="Times New Roman"/>
          <w:sz w:val="24"/>
          <w:szCs w:val="24"/>
        </w:rPr>
      </w:pPr>
      <w:r w:rsidRPr="007A103B">
        <w:rPr>
          <w:rFonts w:ascii="Times New Roman" w:hAnsi="Times New Roman" w:cs="Times New Roman"/>
          <w:sz w:val="24"/>
          <w:szCs w:val="24"/>
        </w:rPr>
        <w:t>НОВОЕ В РОССИЙСКОМ ЗАКОНОДАТЕЛЬСТВЕ</w:t>
      </w:r>
      <w:r w:rsidR="007A103B" w:rsidRPr="007A103B">
        <w:rPr>
          <w:rFonts w:ascii="Times New Roman" w:hAnsi="Times New Roman" w:cs="Times New Roman"/>
          <w:sz w:val="24"/>
          <w:szCs w:val="24"/>
        </w:rPr>
        <w:t xml:space="preserve">. Сентябрь </w:t>
      </w:r>
      <w:r w:rsidRPr="007A103B">
        <w:rPr>
          <w:rFonts w:ascii="Times New Roman" w:hAnsi="Times New Roman" w:cs="Times New Roman"/>
          <w:sz w:val="24"/>
          <w:szCs w:val="24"/>
        </w:rPr>
        <w:t xml:space="preserve"> 2020 года</w:t>
      </w:r>
    </w:p>
    <w:p w:rsidR="0054441E" w:rsidRDefault="0054441E" w:rsidP="00A24389">
      <w:pPr>
        <w:pStyle w:val="ConsPlusNormal"/>
      </w:pPr>
    </w:p>
    <w:p w:rsidR="0054441E" w:rsidRPr="00A24389" w:rsidRDefault="0054441E" w:rsidP="00E817D9">
      <w:pPr>
        <w:pStyle w:val="ConsPlusNormal"/>
        <w:jc w:val="center"/>
        <w:outlineLvl w:val="1"/>
        <w:rPr>
          <w:rFonts w:ascii="Times New Roman" w:hAnsi="Times New Roman" w:cs="Times New Roman"/>
          <w:sz w:val="24"/>
          <w:szCs w:val="24"/>
        </w:rPr>
      </w:pPr>
      <w:r w:rsidRPr="00A24389">
        <w:rPr>
          <w:rFonts w:ascii="Times New Roman" w:hAnsi="Times New Roman" w:cs="Times New Roman"/>
          <w:b/>
          <w:sz w:val="24"/>
          <w:szCs w:val="24"/>
        </w:rPr>
        <w:t>НАЛОГИ, СБОРЫ И ДРУГИЕ ОБЯЗАТЕЛЬНЫЕ ПЛАТЕЖИ</w:t>
      </w:r>
      <w:bookmarkStart w:id="0" w:name="_GoBack"/>
      <w:bookmarkEnd w:id="0"/>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Скорректирован перечень премий за выдающиеся заслуги, суммы которых, не подлежат налогообложению</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25"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6" w:history="1">
              <w:proofErr w:type="gramStart"/>
              <w:r w:rsidRPr="00A24389">
                <w:rPr>
                  <w:rFonts w:ascii="Times New Roman" w:hAnsi="Times New Roman" w:cs="Times New Roman"/>
                  <w:color w:val="0000FF"/>
                  <w:sz w:val="24"/>
                  <w:szCs w:val="24"/>
                </w:rPr>
                <w:t>Постановление</w:t>
              </w:r>
            </w:hyperlink>
            <w:r w:rsidRPr="00A24389">
              <w:rPr>
                <w:rFonts w:ascii="Times New Roman" w:hAnsi="Times New Roman" w:cs="Times New Roman"/>
                <w:sz w:val="24"/>
                <w:szCs w:val="24"/>
              </w:rPr>
              <w:t xml:space="preserve"> Правительства РФ от 09.09.2020 N 1376</w:t>
            </w:r>
            <w:r w:rsidRPr="00A24389">
              <w:rPr>
                <w:rFonts w:ascii="Times New Roman" w:hAnsi="Times New Roman" w:cs="Times New Roman"/>
                <w:sz w:val="24"/>
                <w:szCs w:val="24"/>
              </w:rPr>
              <w:br/>
              <w:t>"О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туризма и средств массовой информации, суммы которых, получаемые налогоплательщиками, не подлежат налогообложению,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tc>
      </w:tr>
    </w:tbl>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Внесены изменения в перечень международных, иностранных и российских премий за выдающиеся достижения, в частности в области науки, культуры, искусства, туризма, средств массовой информации, суммы которых на основании п. 7 ст. 217 НК РФ освобождены от налогообложения НДФЛ.</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 частности, из перечня исключен ряд премий, прекративших свое существование.</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Уточнены наименования некоторых премий и включены новые, в том числе:</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премия имени А.А. Баева за выдающиеся работы в области </w:t>
      </w:r>
      <w:proofErr w:type="spellStart"/>
      <w:r w:rsidRPr="00A24389">
        <w:rPr>
          <w:rFonts w:ascii="Times New Roman" w:hAnsi="Times New Roman" w:cs="Times New Roman"/>
          <w:sz w:val="24"/>
          <w:szCs w:val="24"/>
        </w:rPr>
        <w:t>геномики</w:t>
      </w:r>
      <w:proofErr w:type="spellEnd"/>
      <w:r w:rsidRPr="00A24389">
        <w:rPr>
          <w:rFonts w:ascii="Times New Roman" w:hAnsi="Times New Roman" w:cs="Times New Roman"/>
          <w:sz w:val="24"/>
          <w:szCs w:val="24"/>
        </w:rPr>
        <w:t xml:space="preserve"> и </w:t>
      </w:r>
      <w:proofErr w:type="spellStart"/>
      <w:r w:rsidRPr="00A24389">
        <w:rPr>
          <w:rFonts w:ascii="Times New Roman" w:hAnsi="Times New Roman" w:cs="Times New Roman"/>
          <w:sz w:val="24"/>
          <w:szCs w:val="24"/>
        </w:rPr>
        <w:t>геноинформатики</w:t>
      </w:r>
      <w:proofErr w:type="spellEnd"/>
      <w:r w:rsidRPr="00A24389">
        <w:rPr>
          <w:rFonts w:ascii="Times New Roman" w:hAnsi="Times New Roman" w:cs="Times New Roman"/>
          <w:sz w:val="24"/>
          <w:szCs w:val="24"/>
        </w:rPr>
        <w:t>;</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премия имени А.А. </w:t>
      </w:r>
      <w:proofErr w:type="spellStart"/>
      <w:r w:rsidRPr="00A24389">
        <w:rPr>
          <w:rFonts w:ascii="Times New Roman" w:hAnsi="Times New Roman" w:cs="Times New Roman"/>
          <w:sz w:val="24"/>
          <w:szCs w:val="24"/>
        </w:rPr>
        <w:t>Бочвара</w:t>
      </w:r>
      <w:proofErr w:type="spellEnd"/>
      <w:r w:rsidRPr="00A24389">
        <w:rPr>
          <w:rFonts w:ascii="Times New Roman" w:hAnsi="Times New Roman" w:cs="Times New Roman"/>
          <w:sz w:val="24"/>
          <w:szCs w:val="24"/>
        </w:rPr>
        <w:t xml:space="preserve"> за выдающиеся работы в области металлургии, общего и радиационного материаловедения цветных, радиоактивных материалов и сталей;</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премия имени В.А. </w:t>
      </w:r>
      <w:proofErr w:type="spellStart"/>
      <w:r w:rsidRPr="00A24389">
        <w:rPr>
          <w:rFonts w:ascii="Times New Roman" w:hAnsi="Times New Roman" w:cs="Times New Roman"/>
          <w:sz w:val="24"/>
          <w:szCs w:val="24"/>
        </w:rPr>
        <w:t>Коптюга</w:t>
      </w:r>
      <w:proofErr w:type="spellEnd"/>
      <w:r w:rsidRPr="00A24389">
        <w:rPr>
          <w:rFonts w:ascii="Times New Roman" w:hAnsi="Times New Roman" w:cs="Times New Roman"/>
          <w:sz w:val="24"/>
          <w:szCs w:val="24"/>
        </w:rPr>
        <w:t xml:space="preserve"> за выдающиеся работы по химии в интересах сохранения окружающей среды и развития;</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премия имени Д.С. Лихачева за выдающийся вклад в исследование литературы и культуры Древней Руси;</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Литературная премия Александра Солженицына;</w:t>
      </w:r>
    </w:p>
    <w:p w:rsidR="00A24389" w:rsidRPr="00A24389" w:rsidRDefault="0054441E"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Премия Кандинского.</w:t>
      </w:r>
    </w:p>
    <w:p w:rsidR="00A24389" w:rsidRPr="00A24389" w:rsidRDefault="00A24389" w:rsidP="00A24389">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Разъяснено применение кадастровой стоимости земельного участка в качестве налоговой базы за 2019 год</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051CA59F" wp14:editId="370A66EE">
                  <wp:extent cx="112395" cy="146685"/>
                  <wp:effectExtent l="0" t="0" r="1905" b="5715"/>
                  <wp:docPr id="2" name="Рисунок 2"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8" w:history="1">
              <w:r w:rsidRPr="00A24389">
                <w:rPr>
                  <w:rFonts w:ascii="Times New Roman" w:hAnsi="Times New Roman" w:cs="Times New Roman"/>
                  <w:color w:val="0000FF"/>
                  <w:sz w:val="24"/>
                  <w:szCs w:val="24"/>
                </w:rPr>
                <w:t>Письмо&gt;</w:t>
              </w:r>
            </w:hyperlink>
            <w:r w:rsidRPr="00A24389">
              <w:rPr>
                <w:rFonts w:ascii="Times New Roman" w:hAnsi="Times New Roman" w:cs="Times New Roman"/>
                <w:sz w:val="24"/>
                <w:szCs w:val="24"/>
              </w:rPr>
              <w:t xml:space="preserve"> ФНС России от 09.09.2020 N БС-4-21/14603@</w:t>
            </w:r>
            <w:r w:rsidRPr="00A24389">
              <w:rPr>
                <w:rFonts w:ascii="Times New Roman" w:hAnsi="Times New Roman" w:cs="Times New Roman"/>
                <w:sz w:val="24"/>
                <w:szCs w:val="24"/>
              </w:rPr>
              <w:br/>
              <w:t>"О применении в качестве налоговой базы кадастровой стоимости земельного участка, определенной в соответствии с ч. 9 ст. 24 Федерального закона "О государственной кадастровой оценке"</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Речь идет о применении кадастровой стоимости земельного участка, определенной в соответствии с частью 9 статьи 24 Федерального закона от 03.07.2016 N 237-ФЗ "О государственной кадастровой оценке" (Закон N 237-ФЗ), действовавшей до вступления в силу изменений, внесенных Федеральным законом от 31.07.2020 N 269-ФЗ.</w:t>
      </w:r>
    </w:p>
    <w:p w:rsidR="00A24389" w:rsidRPr="00A24389" w:rsidRDefault="00A24389" w:rsidP="00A24389">
      <w:pPr>
        <w:pStyle w:val="ConsPlusNormal"/>
        <w:jc w:val="both"/>
        <w:rPr>
          <w:rFonts w:ascii="Times New Roman" w:hAnsi="Times New Roman" w:cs="Times New Roman"/>
          <w:sz w:val="24"/>
          <w:szCs w:val="24"/>
        </w:rPr>
      </w:pPr>
      <w:proofErr w:type="gramStart"/>
      <w:r w:rsidRPr="00A24389">
        <w:rPr>
          <w:rFonts w:ascii="Times New Roman" w:hAnsi="Times New Roman" w:cs="Times New Roman"/>
          <w:sz w:val="24"/>
          <w:szCs w:val="24"/>
        </w:rPr>
        <w:t>Частью 9 статьи 24 Федерального закона N 237-ФЗ установлена обязанность бюджетного учреждения по определению кадастровой стоимости для земельных участков, кадастровая стоимость которых была установлена в соответствии со статьей 24.19 Федерального закона "Об оценочной деятельности в Российской Федерации" после 1 января года проведения кадастровой стоимости в соответствии с Федеральным законом N 237-ФЗ.</w:t>
      </w:r>
      <w:proofErr w:type="gramEnd"/>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Поскольку соответствующие обязательства бюджетных учреждений возникают после проведения государственной кадастровой оценки и утверждения ее результатов, актом, день </w:t>
      </w:r>
      <w:proofErr w:type="gramStart"/>
      <w:r w:rsidRPr="00A24389">
        <w:rPr>
          <w:rFonts w:ascii="Times New Roman" w:hAnsi="Times New Roman" w:cs="Times New Roman"/>
          <w:sz w:val="24"/>
          <w:szCs w:val="24"/>
        </w:rPr>
        <w:t>вступления</w:t>
      </w:r>
      <w:proofErr w:type="gramEnd"/>
      <w:r w:rsidRPr="00A24389">
        <w:rPr>
          <w:rFonts w:ascii="Times New Roman" w:hAnsi="Times New Roman" w:cs="Times New Roman"/>
          <w:sz w:val="24"/>
          <w:szCs w:val="24"/>
        </w:rPr>
        <w:t xml:space="preserve"> в силу которого принимается в качестве даты начала применения </w:t>
      </w:r>
      <w:r w:rsidRPr="00A24389">
        <w:rPr>
          <w:rFonts w:ascii="Times New Roman" w:hAnsi="Times New Roman" w:cs="Times New Roman"/>
          <w:sz w:val="24"/>
          <w:szCs w:val="24"/>
        </w:rPr>
        <w:lastRenderedPageBreak/>
        <w:t>рассчитанной в соответствии с частью 9 статьи 24 Федерального закона N 237-ФЗ кадастровой стоимости, является акт об утверждении последних на дату проведения такого расчета результатов государственной кадастровой оценки.</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Следовательно, для целей исчисления земельного налога за налоговый период 2019 года сведения о кадастровой стоимости земельного участка подлежат применению </w:t>
      </w:r>
      <w:proofErr w:type="gramStart"/>
      <w:r w:rsidRPr="00A24389">
        <w:rPr>
          <w:rFonts w:ascii="Times New Roman" w:hAnsi="Times New Roman" w:cs="Times New Roman"/>
          <w:sz w:val="24"/>
          <w:szCs w:val="24"/>
        </w:rPr>
        <w:t>с даты вступления</w:t>
      </w:r>
      <w:proofErr w:type="gramEnd"/>
      <w:r w:rsidRPr="00A24389">
        <w:rPr>
          <w:rFonts w:ascii="Times New Roman" w:hAnsi="Times New Roman" w:cs="Times New Roman"/>
          <w:sz w:val="24"/>
          <w:szCs w:val="24"/>
        </w:rPr>
        <w:t xml:space="preserve"> в силу акта субъекта Российской Федерации, утвердившего кадастровую стоимость земельных участков, вне зависимости от даты фактического внесения сведений в ЕГРН.</w:t>
      </w:r>
    </w:p>
    <w:p w:rsidR="00A24389" w:rsidRPr="00A24389" w:rsidRDefault="00A24389" w:rsidP="00A24389">
      <w:pPr>
        <w:pStyle w:val="ConsPlusNormal"/>
        <w:jc w:val="both"/>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Для налогообложения объектов недвижимости физлиц и земельных участков организаций необходимо, чтобы сведения о них содержались в ЕГРН</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251B9736" wp14:editId="2E84AD36">
                  <wp:extent cx="112395" cy="146685"/>
                  <wp:effectExtent l="0" t="0" r="1905" b="5715"/>
                  <wp:docPr id="1" name="Рисунок 1"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9" w:history="1">
              <w:r w:rsidRPr="00A24389">
                <w:rPr>
                  <w:rFonts w:ascii="Times New Roman" w:hAnsi="Times New Roman" w:cs="Times New Roman"/>
                  <w:color w:val="0000FF"/>
                  <w:sz w:val="24"/>
                  <w:szCs w:val="24"/>
                </w:rPr>
                <w:t>Информация&gt;</w:t>
              </w:r>
            </w:hyperlink>
            <w:r w:rsidRPr="00A24389">
              <w:rPr>
                <w:rFonts w:ascii="Times New Roman" w:hAnsi="Times New Roman" w:cs="Times New Roman"/>
                <w:sz w:val="24"/>
                <w:szCs w:val="24"/>
              </w:rPr>
              <w:t xml:space="preserve"> ФНС России</w:t>
            </w:r>
            <w:proofErr w:type="gramStart"/>
            <w:r w:rsidRPr="00A24389">
              <w:rPr>
                <w:rFonts w:ascii="Times New Roman" w:hAnsi="Times New Roman" w:cs="Times New Roman"/>
                <w:sz w:val="24"/>
                <w:szCs w:val="24"/>
              </w:rPr>
              <w:br/>
              <w:t>&lt;О</w:t>
            </w:r>
            <w:proofErr w:type="gramEnd"/>
            <w:r w:rsidRPr="00A24389">
              <w:rPr>
                <w:rFonts w:ascii="Times New Roman" w:hAnsi="Times New Roman" w:cs="Times New Roman"/>
                <w:sz w:val="24"/>
                <w:szCs w:val="24"/>
              </w:rPr>
              <w:t xml:space="preserve"> налогообложении ранее учтенных объектов недвижимости&gt;</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Сведения из ЕГРН представляются в налоговые органы в ходе информационного обмена с </w:t>
      </w:r>
      <w:proofErr w:type="spellStart"/>
      <w:r w:rsidRPr="00A24389">
        <w:rPr>
          <w:rFonts w:ascii="Times New Roman" w:hAnsi="Times New Roman" w:cs="Times New Roman"/>
          <w:sz w:val="24"/>
          <w:szCs w:val="24"/>
        </w:rPr>
        <w:t>Росреестром</w:t>
      </w:r>
      <w:proofErr w:type="spellEnd"/>
      <w:r w:rsidRPr="00A24389">
        <w:rPr>
          <w:rFonts w:ascii="Times New Roman" w:hAnsi="Times New Roman" w:cs="Times New Roman"/>
          <w:sz w:val="24"/>
          <w:szCs w:val="24"/>
        </w:rPr>
        <w:t>.</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ФНС напоминает, что собственники таких объектов (для земельных участков - и землепользователи) несут обязанность по сообщению в налоговые органы о неучтенных в ЕГРН объектах налогообложения:</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2015 года для физлиц установлена обязанность однократно сообщать о недвижимом имуществе, если они не получили налоговое уведомление и не уплачивали налоги за указанные объекты (исключение - объекты, по которым заявлены налоговые льготы);</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2021 года организации обязаны однократно сообщать о наличии налогооблагаемых земельных участков в случае неполучения сообщения об исчисленном налоговым органом земельном налоге и не представления заявления о налоговых льготах.</w:t>
      </w:r>
    </w:p>
    <w:p w:rsidR="00A24389" w:rsidRPr="00A24389" w:rsidRDefault="00A24389" w:rsidP="00A24389">
      <w:pPr>
        <w:pStyle w:val="ConsPlusNormal"/>
        <w:jc w:val="both"/>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В форму заявления об утрате права на применение ПСН внесены уточнения</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32F5CC1B" wp14:editId="1AA3F955">
                  <wp:extent cx="112395" cy="146685"/>
                  <wp:effectExtent l="0" t="0" r="1905" b="5715"/>
                  <wp:docPr id="4" name="Рисунок 4"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hyperlink r:id="rId10" w:history="1">
              <w:r w:rsidRPr="00A24389">
                <w:rPr>
                  <w:rFonts w:ascii="Times New Roman" w:hAnsi="Times New Roman" w:cs="Times New Roman"/>
                  <w:color w:val="0000FF"/>
                  <w:sz w:val="24"/>
                  <w:szCs w:val="24"/>
                </w:rPr>
                <w:t>Приказ</w:t>
              </w:r>
            </w:hyperlink>
            <w:r w:rsidRPr="00A24389">
              <w:rPr>
                <w:rFonts w:ascii="Times New Roman" w:hAnsi="Times New Roman" w:cs="Times New Roman"/>
                <w:sz w:val="24"/>
                <w:szCs w:val="24"/>
              </w:rPr>
              <w:t xml:space="preserve"> ФНС России от 21.08.2020 N ЕД-7-3/597@</w:t>
            </w:r>
            <w:r w:rsidRPr="00A24389">
              <w:rPr>
                <w:rFonts w:ascii="Times New Roman" w:hAnsi="Times New Roman" w:cs="Times New Roman"/>
                <w:sz w:val="24"/>
                <w:szCs w:val="24"/>
              </w:rPr>
              <w:br/>
              <w:t>"О внесении изменений в приложение к приказу Федеральной налоговой службы от 12.07.2019 N ММВ-7-3/352@"</w:t>
            </w:r>
            <w:r w:rsidRPr="00A24389">
              <w:rPr>
                <w:rFonts w:ascii="Times New Roman" w:hAnsi="Times New Roman" w:cs="Times New Roman"/>
                <w:sz w:val="24"/>
                <w:szCs w:val="24"/>
              </w:rPr>
              <w:br/>
              <w:t>Зарегистрировано в Минюсте России 09.09.2020 N 59729.</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Поправки связаны с изменениями в НК РФ, и коснулись оснований утраты права на применение патентной системы налогообложения (ПСН).</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 частности, в заявление включено дополнительное основание утраты данного права, поскольку с 01.01.2020 к розничной торговле в целях ПСН не относится реализация отдельных товаров, подлежащих обязательной маркировке средствами идентификации (подпункт 1 пункта 3 статьи 346.43 НК РФ). В этой связи налогоплательщик утрачивает право на применение ПСН, если в течение налогового периода была осуществлена реализация таких товаров.</w:t>
      </w:r>
    </w:p>
    <w:p w:rsidR="00A24389" w:rsidRPr="00A24389" w:rsidRDefault="00A24389" w:rsidP="00A24389">
      <w:pPr>
        <w:pStyle w:val="ConsPlusNormal"/>
        <w:jc w:val="both"/>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Пользователи ЛКН могут бесплатно и в любое удобное время скачать электронное свидетельство о постановке на учет физического лица</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1FA0FD56" wp14:editId="7E237C58">
                  <wp:extent cx="112395" cy="146685"/>
                  <wp:effectExtent l="0" t="0" r="1905" b="5715"/>
                  <wp:docPr id="3" name="Рисунок 3"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11" w:history="1">
              <w:r w:rsidRPr="00A24389">
                <w:rPr>
                  <w:rFonts w:ascii="Times New Roman" w:hAnsi="Times New Roman" w:cs="Times New Roman"/>
                  <w:color w:val="0000FF"/>
                  <w:sz w:val="24"/>
                  <w:szCs w:val="24"/>
                </w:rPr>
                <w:t>Информация&gt;</w:t>
              </w:r>
            </w:hyperlink>
            <w:r w:rsidRPr="00A24389">
              <w:rPr>
                <w:rFonts w:ascii="Times New Roman" w:hAnsi="Times New Roman" w:cs="Times New Roman"/>
                <w:sz w:val="24"/>
                <w:szCs w:val="24"/>
              </w:rPr>
              <w:t xml:space="preserve"> ФНС России</w:t>
            </w:r>
            <w:r w:rsidRPr="00A24389">
              <w:rPr>
                <w:rFonts w:ascii="Times New Roman" w:hAnsi="Times New Roman" w:cs="Times New Roman"/>
                <w:sz w:val="24"/>
                <w:szCs w:val="24"/>
              </w:rPr>
              <w:br/>
              <w:t>"ИНН теперь можно получить в Личном кабинете налогоплательщика"</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Расширены функциональные возможности </w:t>
      </w:r>
      <w:proofErr w:type="gramStart"/>
      <w:r w:rsidRPr="00A24389">
        <w:rPr>
          <w:rFonts w:ascii="Times New Roman" w:hAnsi="Times New Roman" w:cs="Times New Roman"/>
          <w:sz w:val="24"/>
          <w:szCs w:val="24"/>
        </w:rPr>
        <w:t>интернет-сервиса</w:t>
      </w:r>
      <w:proofErr w:type="gramEnd"/>
      <w:r w:rsidRPr="00A24389">
        <w:rPr>
          <w:rFonts w:ascii="Times New Roman" w:hAnsi="Times New Roman" w:cs="Times New Roman"/>
          <w:sz w:val="24"/>
          <w:szCs w:val="24"/>
        </w:rPr>
        <w:t xml:space="preserve"> "Личный кабинет налогоплательщика для физических лиц" (ЛНК).</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lastRenderedPageBreak/>
        <w:t>Чтобы скачать ИНН, следует обратиться в раздел "Жизненные ситуации".</w:t>
      </w:r>
    </w:p>
    <w:p w:rsidR="00A24389" w:rsidRPr="00A24389" w:rsidRDefault="00A24389"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Подписанное усиленной квалифицированной электронной подписью свидетельство имеет такую же юридическую силу, как и бумажная копия, подписанная должностным лицом налоговог</w:t>
      </w:r>
      <w:r w:rsidRPr="00A24389">
        <w:rPr>
          <w:rFonts w:ascii="Times New Roman" w:hAnsi="Times New Roman" w:cs="Times New Roman"/>
          <w:sz w:val="24"/>
          <w:szCs w:val="24"/>
        </w:rPr>
        <w:t>о органа и заверенная печатью.</w:t>
      </w:r>
    </w:p>
    <w:p w:rsidR="00A24389" w:rsidRPr="00A24389" w:rsidRDefault="00A24389" w:rsidP="00A24389">
      <w:pPr>
        <w:pStyle w:val="ConsPlusNormal"/>
        <w:jc w:val="both"/>
        <w:outlineLvl w:val="1"/>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 xml:space="preserve">Страховые взносы в фиксированном </w:t>
      </w:r>
      <w:proofErr w:type="gramStart"/>
      <w:r w:rsidRPr="00A24389">
        <w:rPr>
          <w:rFonts w:ascii="Times New Roman" w:hAnsi="Times New Roman" w:cs="Times New Roman"/>
          <w:b/>
          <w:sz w:val="24"/>
          <w:szCs w:val="24"/>
        </w:rPr>
        <w:t>размере</w:t>
      </w:r>
      <w:proofErr w:type="gramEnd"/>
      <w:r w:rsidRPr="00A24389">
        <w:rPr>
          <w:rFonts w:ascii="Times New Roman" w:hAnsi="Times New Roman" w:cs="Times New Roman"/>
          <w:b/>
          <w:sz w:val="24"/>
          <w:szCs w:val="24"/>
        </w:rPr>
        <w:t xml:space="preserve"> на ОПС: </w:t>
      </w:r>
      <w:proofErr w:type="gramStart"/>
      <w:r w:rsidRPr="00A24389">
        <w:rPr>
          <w:rFonts w:ascii="Times New Roman" w:hAnsi="Times New Roman" w:cs="Times New Roman"/>
          <w:b/>
          <w:sz w:val="24"/>
          <w:szCs w:val="24"/>
        </w:rPr>
        <w:t>какие</w:t>
      </w:r>
      <w:proofErr w:type="gramEnd"/>
      <w:r w:rsidRPr="00A24389">
        <w:rPr>
          <w:rFonts w:ascii="Times New Roman" w:hAnsi="Times New Roman" w:cs="Times New Roman"/>
          <w:b/>
          <w:sz w:val="24"/>
          <w:szCs w:val="24"/>
        </w:rPr>
        <w:t xml:space="preserve"> ИП не вправе в 2020 году уплатить взнос в пониженном размере</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32662D56" wp14:editId="14E60F57">
                  <wp:extent cx="112395" cy="146685"/>
                  <wp:effectExtent l="0" t="0" r="1905" b="5715"/>
                  <wp:docPr id="7" name="Рисунок 7"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12" w:history="1">
              <w:r w:rsidRPr="00A24389">
                <w:rPr>
                  <w:rFonts w:ascii="Times New Roman" w:hAnsi="Times New Roman" w:cs="Times New Roman"/>
                  <w:color w:val="0000FF"/>
                  <w:sz w:val="24"/>
                  <w:szCs w:val="24"/>
                </w:rPr>
                <w:t>Письмо&gt;</w:t>
              </w:r>
            </w:hyperlink>
            <w:r w:rsidRPr="00A24389">
              <w:rPr>
                <w:rFonts w:ascii="Times New Roman" w:hAnsi="Times New Roman" w:cs="Times New Roman"/>
                <w:sz w:val="24"/>
                <w:szCs w:val="24"/>
              </w:rPr>
              <w:t xml:space="preserve"> ФНС России от 28.08.2020 N АБ-4-11/13869@</w:t>
            </w:r>
            <w:r w:rsidRPr="00A24389">
              <w:rPr>
                <w:rFonts w:ascii="Times New Roman" w:hAnsi="Times New Roman" w:cs="Times New Roman"/>
                <w:sz w:val="24"/>
                <w:szCs w:val="24"/>
              </w:rPr>
              <w:br/>
              <w:t>"О направлении письма Минфина России"</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Статья 430 НК РФ дополнена пунктом 1.1, в соответствии с которым для ИП, осуществляющих деятельность в наиболее пострадавших отраслях российской экономики, перечень которых утвержден постановлением Правительства РФ от 03.04.2020 N 434, страховые взносы на обязательное пенсионное страхование в фиксированном размере за 2020 год составляют 20 318 рублей. Деятельность ИП определяется по коду основного вида деятельности (ОКВЭД), информация о котором содержится в ЕГРИП по состоянию на 1 марта 2020 г.</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учетом изложенного сообщается, что положения о пониженном размере страхового взноса не применяются в следующих случаях:</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если в ЕГРИП по состоянию на 1 марта 2020 года не содержится информации об ОКВЭД ввиду снятия ИП с учета до 01.03.2020,</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если </w:t>
      </w:r>
      <w:proofErr w:type="gramStart"/>
      <w:r w:rsidRPr="00A24389">
        <w:rPr>
          <w:rFonts w:ascii="Times New Roman" w:hAnsi="Times New Roman" w:cs="Times New Roman"/>
          <w:sz w:val="24"/>
          <w:szCs w:val="24"/>
        </w:rPr>
        <w:t>указанный</w:t>
      </w:r>
      <w:proofErr w:type="gramEnd"/>
      <w:r w:rsidRPr="00A24389">
        <w:rPr>
          <w:rFonts w:ascii="Times New Roman" w:hAnsi="Times New Roman" w:cs="Times New Roman"/>
          <w:sz w:val="24"/>
          <w:szCs w:val="24"/>
        </w:rPr>
        <w:t xml:space="preserve"> в ЕГРИП на 01.03.2020 ОКВЭД не поименован в перечне пострадавших отраслей российской экономики,</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если ИП зарегистрирован после 01.03.2020.</w:t>
      </w:r>
    </w:p>
    <w:p w:rsidR="00A24389" w:rsidRPr="00A24389" w:rsidRDefault="00A24389" w:rsidP="00A24389">
      <w:pPr>
        <w:pStyle w:val="ConsPlusNormal"/>
        <w:jc w:val="both"/>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ФНС разъяснила на примере новый порядок расчета НДФЛ на проценты по вкладам</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58E740F0" wp14:editId="3AB32A34">
                  <wp:extent cx="112395" cy="146685"/>
                  <wp:effectExtent l="0" t="0" r="1905" b="5715"/>
                  <wp:docPr id="6" name="Рисунок 6"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13" w:history="1">
              <w:r w:rsidRPr="00A24389">
                <w:rPr>
                  <w:rFonts w:ascii="Times New Roman" w:hAnsi="Times New Roman" w:cs="Times New Roman"/>
                  <w:color w:val="0000FF"/>
                  <w:sz w:val="24"/>
                  <w:szCs w:val="24"/>
                </w:rPr>
                <w:t>Информация&gt;</w:t>
              </w:r>
            </w:hyperlink>
            <w:r w:rsidRPr="00A24389">
              <w:rPr>
                <w:rFonts w:ascii="Times New Roman" w:hAnsi="Times New Roman" w:cs="Times New Roman"/>
                <w:sz w:val="24"/>
                <w:szCs w:val="24"/>
              </w:rPr>
              <w:t xml:space="preserve"> ФНС России</w:t>
            </w:r>
            <w:r w:rsidRPr="00A24389">
              <w:rPr>
                <w:rFonts w:ascii="Times New Roman" w:hAnsi="Times New Roman" w:cs="Times New Roman"/>
                <w:sz w:val="24"/>
                <w:szCs w:val="24"/>
              </w:rPr>
              <w:br/>
              <w:t>"Налоговая политика и практика: как будет рассчитываться налог на проценты по вкладам"</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01.01.2021 вступит в силу новая редакция статьи 214.2 НК РФ, предусматривающей особенности определения налоговой базы при получении доходов в виде процентов по вкладам.</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Налог будет исчисляться с превышения суммы полученных процентов в течение года по всем вкладам и остаткам на счетах в банках РФ, над суммой процентов, рассчитанной как произведение 1 </w:t>
      </w:r>
      <w:proofErr w:type="gramStart"/>
      <w:r w:rsidRPr="00A24389">
        <w:rPr>
          <w:rFonts w:ascii="Times New Roman" w:hAnsi="Times New Roman" w:cs="Times New Roman"/>
          <w:sz w:val="24"/>
          <w:szCs w:val="24"/>
        </w:rPr>
        <w:t>млн</w:t>
      </w:r>
      <w:proofErr w:type="gramEnd"/>
      <w:r w:rsidRPr="00A24389">
        <w:rPr>
          <w:rFonts w:ascii="Times New Roman" w:hAnsi="Times New Roman" w:cs="Times New Roman"/>
          <w:sz w:val="24"/>
          <w:szCs w:val="24"/>
        </w:rPr>
        <w:t xml:space="preserve"> рублей на ключевую ставку Банка России, действующую на первое число налогового периода.</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Исключение - проценты по вкладам, выплаченные в валюте РФ, ставка по которым в течение всего периода не превышает 1% годовых, и по счетам </w:t>
      </w:r>
      <w:proofErr w:type="spellStart"/>
      <w:r w:rsidRPr="00A24389">
        <w:rPr>
          <w:rFonts w:ascii="Times New Roman" w:hAnsi="Times New Roman" w:cs="Times New Roman"/>
          <w:sz w:val="24"/>
          <w:szCs w:val="24"/>
        </w:rPr>
        <w:t>эскроу</w:t>
      </w:r>
      <w:proofErr w:type="spellEnd"/>
      <w:r w:rsidRPr="00A24389">
        <w:rPr>
          <w:rFonts w:ascii="Times New Roman" w:hAnsi="Times New Roman" w:cs="Times New Roman"/>
          <w:sz w:val="24"/>
          <w:szCs w:val="24"/>
        </w:rPr>
        <w:t>.</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Освобождения от налогообложения для отдельных категорий налогоплательщиков не предусмотрено.</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 приведенном примере налог рассчитан из предположения, что ключевая ставка ЦБ РФ составит 4,5%. В этом случае необлагаемый доход по процентам составит 45000 руб. (1 млн. рублей Х 4,5%).</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Доход в виде процентов, превышающий данную сумму, будет облагаться НДФЛ.</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Налог рассчитывается налоговым органом на основании сведений, представляемых банками. Уплатить налог необходимо будет на основании полученного от налоговых органов уведомления.</w:t>
      </w:r>
    </w:p>
    <w:p w:rsidR="00A24389" w:rsidRPr="00A24389" w:rsidRDefault="00A24389" w:rsidP="00A24389">
      <w:pPr>
        <w:pStyle w:val="ConsPlusNormal"/>
        <w:jc w:val="both"/>
        <w:rPr>
          <w:rFonts w:ascii="Times New Roman" w:hAnsi="Times New Roman" w:cs="Times New Roman"/>
          <w:sz w:val="24"/>
          <w:szCs w:val="24"/>
        </w:rPr>
      </w:pP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Для организаций и индивидуальных предпринимателей предлагается ввести институт "единого налогового платежа"</w:t>
      </w:r>
    </w:p>
    <w:p w:rsidR="00A24389" w:rsidRPr="00A24389" w:rsidRDefault="00A24389" w:rsidP="00A24389">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A24389" w:rsidRPr="00A24389" w:rsidTr="00850926">
        <w:tc>
          <w:tcPr>
            <w:tcW w:w="540" w:type="dxa"/>
            <w:tcBorders>
              <w:top w:val="nil"/>
              <w:left w:val="nil"/>
              <w:bottom w:val="nil"/>
              <w:right w:val="nil"/>
            </w:tcBorders>
            <w:vAlign w:val="center"/>
          </w:tcPr>
          <w:p w:rsidR="00A24389" w:rsidRPr="00A24389" w:rsidRDefault="00A24389" w:rsidP="00850926">
            <w:pPr>
              <w:rPr>
                <w:rFonts w:ascii="Times New Roman" w:hAnsi="Times New Roman" w:cs="Times New Roman"/>
                <w:sz w:val="24"/>
                <w:szCs w:val="24"/>
              </w:rPr>
            </w:pPr>
            <w:r w:rsidRPr="00A24389">
              <w:rPr>
                <w:rFonts w:ascii="Times New Roman" w:hAnsi="Times New Roman" w:cs="Times New Roman"/>
                <w:noProof/>
                <w:position w:val="-1"/>
                <w:sz w:val="24"/>
                <w:szCs w:val="24"/>
                <w:lang w:eastAsia="ru-RU"/>
              </w:rPr>
              <w:drawing>
                <wp:inline distT="0" distB="0" distL="0" distR="0" wp14:anchorId="0666DFC4" wp14:editId="33A311A2">
                  <wp:extent cx="112395" cy="146685"/>
                  <wp:effectExtent l="0" t="0" r="1905" b="5715"/>
                  <wp:docPr id="5" name="Рисунок 5" descr="mem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mem_4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8814" w:type="dxa"/>
            <w:tcBorders>
              <w:top w:val="nil"/>
              <w:left w:val="nil"/>
              <w:bottom w:val="nil"/>
              <w:right w:val="nil"/>
            </w:tcBorders>
          </w:tcPr>
          <w:p w:rsidR="00A24389" w:rsidRPr="00A24389" w:rsidRDefault="00A24389" w:rsidP="00850926">
            <w:pPr>
              <w:pStyle w:val="ConsPlusNormal"/>
              <w:rPr>
                <w:rFonts w:ascii="Times New Roman" w:hAnsi="Times New Roman" w:cs="Times New Roman"/>
                <w:sz w:val="24"/>
                <w:szCs w:val="24"/>
              </w:rPr>
            </w:pPr>
            <w:hyperlink r:id="rId14" w:history="1">
              <w:r w:rsidRPr="00A24389">
                <w:rPr>
                  <w:rFonts w:ascii="Times New Roman" w:hAnsi="Times New Roman" w:cs="Times New Roman"/>
                  <w:color w:val="0000FF"/>
                  <w:sz w:val="24"/>
                  <w:szCs w:val="24"/>
                </w:rPr>
                <w:t>Проект</w:t>
              </w:r>
            </w:hyperlink>
            <w:r w:rsidRPr="00A24389">
              <w:rPr>
                <w:rFonts w:ascii="Times New Roman" w:hAnsi="Times New Roman" w:cs="Times New Roman"/>
                <w:sz w:val="24"/>
                <w:szCs w:val="24"/>
              </w:rPr>
              <w:t xml:space="preserve"> Федерального закона "О внесении изменений в статьи 45 и 45.1 части первой Налогового кодекса Российской Федерации"</w:t>
            </w:r>
          </w:p>
        </w:tc>
      </w:tr>
    </w:tbl>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Реализация указанной меры позволит указанным категориям налогоплательщиков (плательщиков сбора, страховых взносов) (далее - плательщики) осуществлять уплату налогов, торгового сбора, страховых взносов одним платежным поручением без уточнения вида платежа, срока его уплаты, принадлежности к бюджету бюджетной системы Российской Федерации и т.д.</w:t>
      </w:r>
    </w:p>
    <w:p w:rsidR="00A24389"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При этом налоговый орган самостоятельно произведет зачет перечисленных денежных сре</w:t>
      </w:r>
      <w:proofErr w:type="gramStart"/>
      <w:r w:rsidRPr="00A24389">
        <w:rPr>
          <w:rFonts w:ascii="Times New Roman" w:hAnsi="Times New Roman" w:cs="Times New Roman"/>
          <w:sz w:val="24"/>
          <w:szCs w:val="24"/>
        </w:rPr>
        <w:t>дств в сч</w:t>
      </w:r>
      <w:proofErr w:type="gramEnd"/>
      <w:r w:rsidRPr="00A24389">
        <w:rPr>
          <w:rFonts w:ascii="Times New Roman" w:hAnsi="Times New Roman" w:cs="Times New Roman"/>
          <w:sz w:val="24"/>
          <w:szCs w:val="24"/>
        </w:rPr>
        <w:t>ет имеющихся у плательщика обязательств.</w:t>
      </w:r>
    </w:p>
    <w:p w:rsidR="0054441E" w:rsidRDefault="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коды бюджетной классификации</w:t>
      </w:r>
      <w:bookmarkStart w:id="1" w:name="P124"/>
      <w:bookmarkEnd w:id="1"/>
    </w:p>
    <w:p w:rsidR="00E817D9" w:rsidRPr="00A24389" w:rsidRDefault="00E817D9">
      <w:pPr>
        <w:pStyle w:val="ConsPlusNormal"/>
        <w:jc w:val="both"/>
        <w:rPr>
          <w:rFonts w:ascii="Times New Roman" w:hAnsi="Times New Roman" w:cs="Times New Roman"/>
          <w:sz w:val="24"/>
          <w:szCs w:val="24"/>
        </w:rPr>
      </w:pPr>
    </w:p>
    <w:p w:rsidR="0054441E" w:rsidRPr="00A24389" w:rsidRDefault="0054441E">
      <w:pPr>
        <w:pStyle w:val="ConsPlusNormal"/>
        <w:jc w:val="both"/>
        <w:outlineLvl w:val="1"/>
        <w:rPr>
          <w:rFonts w:ascii="Times New Roman" w:hAnsi="Times New Roman" w:cs="Times New Roman"/>
          <w:sz w:val="24"/>
          <w:szCs w:val="24"/>
        </w:rPr>
      </w:pPr>
      <w:r w:rsidRPr="00A24389">
        <w:rPr>
          <w:rFonts w:ascii="Times New Roman" w:hAnsi="Times New Roman" w:cs="Times New Roman"/>
          <w:b/>
          <w:sz w:val="24"/>
          <w:szCs w:val="24"/>
        </w:rPr>
        <w:t>КОНСТИТУЦИОННЫЙ СТРОЙ. ОСНОВЫ ГОСУДАРСТВЕННОГО УПРАВЛЕНИЯ</w:t>
      </w: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Внесены изменения в порядок присвоения, изменения и аннулирования адресов</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26"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15" w:history="1">
              <w:r w:rsidRPr="00A24389">
                <w:rPr>
                  <w:rFonts w:ascii="Times New Roman" w:hAnsi="Times New Roman" w:cs="Times New Roman"/>
                  <w:color w:val="0000FF"/>
                  <w:sz w:val="24"/>
                  <w:szCs w:val="24"/>
                </w:rPr>
                <w:t>Постановление</w:t>
              </w:r>
            </w:hyperlink>
            <w:r w:rsidRPr="00A24389">
              <w:rPr>
                <w:rFonts w:ascii="Times New Roman" w:hAnsi="Times New Roman" w:cs="Times New Roman"/>
                <w:sz w:val="24"/>
                <w:szCs w:val="24"/>
              </w:rPr>
              <w:t xml:space="preserve"> Правительства РФ от 04.09.2020 N 1355</w:t>
            </w:r>
            <w:r w:rsidRPr="00A24389">
              <w:rPr>
                <w:rFonts w:ascii="Times New Roman" w:hAnsi="Times New Roman" w:cs="Times New Roman"/>
                <w:sz w:val="24"/>
                <w:szCs w:val="24"/>
              </w:rPr>
              <w:br/>
              <w:t>"О внесении изменений в Правила присвоения, изменения и аннулирования адресов"</w:t>
            </w:r>
          </w:p>
        </w:tc>
      </w:tr>
    </w:tbl>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 частности, установлено, что объектом адресации являются:</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здание (строение, за исключением некапитального строения), в том </w:t>
      </w:r>
      <w:proofErr w:type="gramStart"/>
      <w:r w:rsidRPr="00A24389">
        <w:rPr>
          <w:rFonts w:ascii="Times New Roman" w:hAnsi="Times New Roman" w:cs="Times New Roman"/>
          <w:sz w:val="24"/>
          <w:szCs w:val="24"/>
        </w:rPr>
        <w:t>числе</w:t>
      </w:r>
      <w:proofErr w:type="gramEnd"/>
      <w:r w:rsidRPr="00A24389">
        <w:rPr>
          <w:rFonts w:ascii="Times New Roman" w:hAnsi="Times New Roman" w:cs="Times New Roman"/>
          <w:sz w:val="24"/>
          <w:szCs w:val="24"/>
        </w:rPr>
        <w:t xml:space="preserve"> строительство которого не завершено;</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сооружение (за исключением некапитального сооружения и линейного объекта), в том </w:t>
      </w:r>
      <w:proofErr w:type="gramStart"/>
      <w:r w:rsidRPr="00A24389">
        <w:rPr>
          <w:rFonts w:ascii="Times New Roman" w:hAnsi="Times New Roman" w:cs="Times New Roman"/>
          <w:sz w:val="24"/>
          <w:szCs w:val="24"/>
        </w:rPr>
        <w:t>числе</w:t>
      </w:r>
      <w:proofErr w:type="gramEnd"/>
      <w:r w:rsidRPr="00A24389">
        <w:rPr>
          <w:rFonts w:ascii="Times New Roman" w:hAnsi="Times New Roman" w:cs="Times New Roman"/>
          <w:sz w:val="24"/>
          <w:szCs w:val="24"/>
        </w:rPr>
        <w:t xml:space="preserve"> строительство которого не завершено;</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помещение, являющееся частью объекта капитального строительства;</w:t>
      </w:r>
    </w:p>
    <w:p w:rsidR="0054441E" w:rsidRPr="00A24389" w:rsidRDefault="0054441E" w:rsidP="0054441E">
      <w:pPr>
        <w:pStyle w:val="ConsPlusNormal"/>
        <w:jc w:val="both"/>
        <w:rPr>
          <w:rFonts w:ascii="Times New Roman" w:hAnsi="Times New Roman" w:cs="Times New Roman"/>
          <w:sz w:val="24"/>
          <w:szCs w:val="24"/>
        </w:rPr>
      </w:pPr>
      <w:proofErr w:type="spellStart"/>
      <w:r w:rsidRPr="00A24389">
        <w:rPr>
          <w:rFonts w:ascii="Times New Roman" w:hAnsi="Times New Roman" w:cs="Times New Roman"/>
          <w:sz w:val="24"/>
          <w:szCs w:val="24"/>
        </w:rPr>
        <w:t>машино</w:t>
      </w:r>
      <w:proofErr w:type="spellEnd"/>
      <w:r w:rsidRPr="00A24389">
        <w:rPr>
          <w:rFonts w:ascii="Times New Roman" w:hAnsi="Times New Roman" w:cs="Times New Roman"/>
          <w:sz w:val="24"/>
          <w:szCs w:val="24"/>
        </w:rPr>
        <w:t xml:space="preserve">-место (за исключением </w:t>
      </w:r>
      <w:proofErr w:type="spellStart"/>
      <w:r w:rsidRPr="00A24389">
        <w:rPr>
          <w:rFonts w:ascii="Times New Roman" w:hAnsi="Times New Roman" w:cs="Times New Roman"/>
          <w:sz w:val="24"/>
          <w:szCs w:val="24"/>
        </w:rPr>
        <w:t>машино</w:t>
      </w:r>
      <w:proofErr w:type="spellEnd"/>
      <w:r w:rsidRPr="00A24389">
        <w:rPr>
          <w:rFonts w:ascii="Times New Roman" w:hAnsi="Times New Roman" w:cs="Times New Roman"/>
          <w:sz w:val="24"/>
          <w:szCs w:val="24"/>
        </w:rPr>
        <w:t>-места, являющегося частью некапитального здания или сооружения).</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Присвоение объекту адресации адреса осуществляется, в частности, в отношении зданий (строений), сооружений, в том числе строительство которых не завершено, в случаях:</w:t>
      </w:r>
    </w:p>
    <w:p w:rsidR="0054441E" w:rsidRPr="00A24389" w:rsidRDefault="0054441E" w:rsidP="0054441E">
      <w:pPr>
        <w:pStyle w:val="ConsPlusNormal"/>
        <w:jc w:val="both"/>
        <w:rPr>
          <w:rFonts w:ascii="Times New Roman" w:hAnsi="Times New Roman" w:cs="Times New Roman"/>
          <w:sz w:val="24"/>
          <w:szCs w:val="24"/>
        </w:rPr>
      </w:pPr>
      <w:proofErr w:type="gramStart"/>
      <w:r w:rsidRPr="00A24389">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4441E" w:rsidRPr="00A24389" w:rsidRDefault="0054441E" w:rsidP="0054441E">
      <w:pPr>
        <w:pStyle w:val="ConsPlusNormal"/>
        <w:jc w:val="both"/>
        <w:rPr>
          <w:rFonts w:ascii="Times New Roman" w:hAnsi="Times New Roman" w:cs="Times New Roman"/>
          <w:sz w:val="24"/>
          <w:szCs w:val="24"/>
        </w:rPr>
      </w:pPr>
      <w:proofErr w:type="gramStart"/>
      <w:r w:rsidRPr="00A24389">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РФ для строительства или реконструкции объекта недвижимости получение разрешения на строительство</w:t>
      </w:r>
      <w:proofErr w:type="gramEnd"/>
      <w:r w:rsidRPr="00A24389">
        <w:rPr>
          <w:rFonts w:ascii="Times New Roman" w:hAnsi="Times New Roman" w:cs="Times New Roman"/>
          <w:sz w:val="24"/>
          <w:szCs w:val="24"/>
        </w:rPr>
        <w:t xml:space="preserve"> не требуется).</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lastRenderedPageBreak/>
        <w:t>Аннулирование адреса объекта адресации осуществляется в случаях:</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присвоения объекту адресации нового адреса.</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4441E" w:rsidRPr="00A24389" w:rsidRDefault="0054441E" w:rsidP="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A24389">
        <w:rPr>
          <w:rFonts w:ascii="Times New Roman" w:hAnsi="Times New Roman" w:cs="Times New Roman"/>
          <w:sz w:val="24"/>
          <w:szCs w:val="24"/>
        </w:rPr>
        <w:t>машино</w:t>
      </w:r>
      <w:proofErr w:type="spellEnd"/>
      <w:r w:rsidRPr="00A24389">
        <w:rPr>
          <w:rFonts w:ascii="Times New Roman" w:hAnsi="Times New Roman" w:cs="Times New Roman"/>
          <w:sz w:val="24"/>
          <w:szCs w:val="24"/>
        </w:rPr>
        <w:t>-мест в таком здании (строении) или сооружении</w:t>
      </w:r>
      <w:proofErr w:type="gramStart"/>
      <w:r w:rsidRPr="00A24389">
        <w:rPr>
          <w:rFonts w:ascii="Times New Roman" w:hAnsi="Times New Roman" w:cs="Times New Roman"/>
          <w:sz w:val="24"/>
          <w:szCs w:val="24"/>
        </w:rPr>
        <w:t>.".</w:t>
      </w:r>
      <w:proofErr w:type="gramEnd"/>
    </w:p>
    <w:p w:rsidR="0054441E" w:rsidRPr="00A24389" w:rsidRDefault="0054441E">
      <w:pPr>
        <w:pStyle w:val="ConsPlusNormal"/>
        <w:jc w:val="both"/>
        <w:rPr>
          <w:rFonts w:ascii="Times New Roman" w:hAnsi="Times New Roman" w:cs="Times New Roman"/>
          <w:sz w:val="24"/>
          <w:szCs w:val="24"/>
        </w:rPr>
      </w:pPr>
    </w:p>
    <w:p w:rsidR="0054441E" w:rsidRPr="00A24389" w:rsidRDefault="0054441E">
      <w:pPr>
        <w:pStyle w:val="ConsPlusNormal"/>
        <w:jc w:val="both"/>
        <w:outlineLvl w:val="1"/>
        <w:rPr>
          <w:rFonts w:ascii="Times New Roman" w:hAnsi="Times New Roman" w:cs="Times New Roman"/>
          <w:sz w:val="24"/>
          <w:szCs w:val="24"/>
        </w:rPr>
      </w:pPr>
      <w:r w:rsidRPr="00A24389">
        <w:rPr>
          <w:rFonts w:ascii="Times New Roman" w:hAnsi="Times New Roman" w:cs="Times New Roman"/>
          <w:b/>
          <w:sz w:val="24"/>
          <w:szCs w:val="24"/>
        </w:rPr>
        <w:t>СОЦИАЛЬНОЕ ОБЕСПЕЧЕНИЕ. ПОСОБИЯ И ЛЬГОТЫ</w:t>
      </w: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До 30 сентября продлен период дополнительных выплат к пособию по безработице в размере 3 тыс. рублей на каждого несовершеннолетнего ребенка одному из родителей, официально зарегистрированному в службе занятости</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27"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16" w:history="1">
              <w:r w:rsidRPr="00A24389">
                <w:rPr>
                  <w:rFonts w:ascii="Times New Roman" w:hAnsi="Times New Roman" w:cs="Times New Roman"/>
                  <w:color w:val="0000FF"/>
                  <w:sz w:val="24"/>
                  <w:szCs w:val="24"/>
                </w:rPr>
                <w:t>Информация&gt;</w:t>
              </w:r>
            </w:hyperlink>
            <w:r w:rsidRPr="00A24389">
              <w:rPr>
                <w:rFonts w:ascii="Times New Roman" w:hAnsi="Times New Roman" w:cs="Times New Roman"/>
                <w:sz w:val="24"/>
                <w:szCs w:val="24"/>
              </w:rPr>
              <w:t xml:space="preserve"> Минтруда России</w:t>
            </w:r>
            <w:r w:rsidRPr="00A24389">
              <w:rPr>
                <w:rFonts w:ascii="Times New Roman" w:hAnsi="Times New Roman" w:cs="Times New Roman"/>
                <w:sz w:val="24"/>
                <w:szCs w:val="24"/>
              </w:rPr>
              <w:br/>
              <w:t>"Выплаты для безработных родителей с несовершеннолетними детьми продлены до 30 сентября"</w:t>
            </w:r>
          </w:p>
        </w:tc>
      </w:tr>
    </w:tbl>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sz w:val="24"/>
          <w:szCs w:val="24"/>
        </w:rPr>
        <w:t xml:space="preserve">Впервые вставшим </w:t>
      </w:r>
      <w:proofErr w:type="gramStart"/>
      <w:r w:rsidRPr="00A24389">
        <w:rPr>
          <w:rFonts w:ascii="Times New Roman" w:hAnsi="Times New Roman" w:cs="Times New Roman"/>
          <w:sz w:val="24"/>
          <w:szCs w:val="24"/>
        </w:rPr>
        <w:t>на учет в качестве безработных в сентябре для получения выплаты нужно в заявлении</w:t>
      </w:r>
      <w:proofErr w:type="gramEnd"/>
      <w:r w:rsidRPr="00A24389">
        <w:rPr>
          <w:rFonts w:ascii="Times New Roman" w:hAnsi="Times New Roman" w:cs="Times New Roman"/>
          <w:sz w:val="24"/>
          <w:szCs w:val="24"/>
        </w:rPr>
        <w:t xml:space="preserve"> о постановке на учет указать сведения о детях в возрасте до 18 лет. Уже зарегистрировавшимся в центрах занятости гражданам, получавшим доплаты на детей на протяжении предыдущих месяцев, выплата будет назначена автоматически.</w:t>
      </w:r>
    </w:p>
    <w:p w:rsidR="0054441E" w:rsidRPr="00A24389" w:rsidRDefault="0054441E">
      <w:pPr>
        <w:pStyle w:val="ConsPlusNormal"/>
        <w:jc w:val="both"/>
        <w:rPr>
          <w:rFonts w:ascii="Times New Roman" w:hAnsi="Times New Roman" w:cs="Times New Roman"/>
          <w:sz w:val="24"/>
          <w:szCs w:val="24"/>
        </w:rPr>
      </w:pPr>
    </w:p>
    <w:p w:rsidR="0054441E" w:rsidRPr="00A24389" w:rsidRDefault="0054441E">
      <w:pPr>
        <w:pStyle w:val="ConsPlusNormal"/>
        <w:jc w:val="both"/>
        <w:outlineLvl w:val="1"/>
        <w:rPr>
          <w:rFonts w:ascii="Times New Roman" w:hAnsi="Times New Roman" w:cs="Times New Roman"/>
          <w:sz w:val="24"/>
          <w:szCs w:val="24"/>
        </w:rPr>
      </w:pPr>
      <w:r w:rsidRPr="00A24389">
        <w:rPr>
          <w:rFonts w:ascii="Times New Roman" w:hAnsi="Times New Roman" w:cs="Times New Roman"/>
          <w:b/>
          <w:sz w:val="24"/>
          <w:szCs w:val="24"/>
        </w:rPr>
        <w:t>ТУРИЗМ. СПОРТ</w:t>
      </w: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Программа по возврату части сре</w:t>
      </w:r>
      <w:proofErr w:type="gramStart"/>
      <w:r w:rsidRPr="00A24389">
        <w:rPr>
          <w:rFonts w:ascii="Times New Roman" w:hAnsi="Times New Roman" w:cs="Times New Roman"/>
          <w:b/>
          <w:sz w:val="24"/>
          <w:szCs w:val="24"/>
        </w:rPr>
        <w:t>дств в сл</w:t>
      </w:r>
      <w:proofErr w:type="gramEnd"/>
      <w:r w:rsidRPr="00A24389">
        <w:rPr>
          <w:rFonts w:ascii="Times New Roman" w:hAnsi="Times New Roman" w:cs="Times New Roman"/>
          <w:b/>
          <w:sz w:val="24"/>
          <w:szCs w:val="24"/>
        </w:rPr>
        <w:t>учае покупки туров по России показала свою эффективность и будет продолжена</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28"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r w:rsidRPr="00A24389">
              <w:rPr>
                <w:rFonts w:ascii="Times New Roman" w:hAnsi="Times New Roman" w:cs="Times New Roman"/>
                <w:sz w:val="24"/>
                <w:szCs w:val="24"/>
              </w:rPr>
              <w:t xml:space="preserve">&lt;Информация&gt; Ростуризма от 09.09.2020 "Заявление Зарины </w:t>
            </w:r>
            <w:proofErr w:type="spellStart"/>
            <w:r w:rsidRPr="00A24389">
              <w:rPr>
                <w:rFonts w:ascii="Times New Roman" w:hAnsi="Times New Roman" w:cs="Times New Roman"/>
                <w:sz w:val="24"/>
                <w:szCs w:val="24"/>
              </w:rPr>
              <w:t>Догузовой</w:t>
            </w:r>
            <w:proofErr w:type="spellEnd"/>
            <w:r w:rsidRPr="00A24389">
              <w:rPr>
                <w:rFonts w:ascii="Times New Roman" w:hAnsi="Times New Roman" w:cs="Times New Roman"/>
                <w:sz w:val="24"/>
                <w:szCs w:val="24"/>
              </w:rPr>
              <w:t xml:space="preserve"> о продолжении программы стимулирования внутренних туристических поездок"</w:t>
            </w:r>
          </w:p>
        </w:tc>
      </w:tr>
    </w:tbl>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При этом условия программы будут скорректированы под запросы туристов и бизнеса.</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В частности, окно продаж будет значительно больше по времени. Сократится минимальное количество ночей для получения возврата средств - до 2 ночей, тем самым появятся возможности для коротких поездок на выходные. Соответственно, будет снижена минимальная стоимость тура или проживания, необходимая для возврата средств. Кроме того, готовится целый ряд технологических доработок для удобства туристов и субъектов отрасли.</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xml:space="preserve">Напомним, что программа туристического </w:t>
      </w:r>
      <w:proofErr w:type="spellStart"/>
      <w:r w:rsidRPr="00A24389">
        <w:rPr>
          <w:rFonts w:ascii="Times New Roman" w:hAnsi="Times New Roman" w:cs="Times New Roman"/>
          <w:sz w:val="24"/>
          <w:szCs w:val="24"/>
        </w:rPr>
        <w:t>кешбэка</w:t>
      </w:r>
      <w:proofErr w:type="spellEnd"/>
      <w:r w:rsidRPr="00A24389">
        <w:rPr>
          <w:rFonts w:ascii="Times New Roman" w:hAnsi="Times New Roman" w:cs="Times New Roman"/>
          <w:sz w:val="24"/>
          <w:szCs w:val="24"/>
        </w:rPr>
        <w:t xml:space="preserve"> впервые прошла с 21 по 28 августа, при поддержке всех ключевых субъектов туристической отрасли. За неделю в программе поучаствовали порядка 70 тысяч человек, которые приобрели туров на сумму свыше 1,4 миллиарда рублей.</w:t>
      </w:r>
    </w:p>
    <w:p w:rsidR="0054441E" w:rsidRPr="00A24389" w:rsidRDefault="0054441E">
      <w:pPr>
        <w:pStyle w:val="ConsPlusNormal"/>
        <w:jc w:val="both"/>
        <w:rPr>
          <w:rFonts w:ascii="Times New Roman" w:hAnsi="Times New Roman" w:cs="Times New Roman"/>
          <w:sz w:val="24"/>
          <w:szCs w:val="24"/>
        </w:rPr>
      </w:pPr>
    </w:p>
    <w:p w:rsidR="0054441E" w:rsidRPr="00A24389" w:rsidRDefault="0054441E">
      <w:pPr>
        <w:pStyle w:val="ConsPlusNormal"/>
        <w:jc w:val="both"/>
        <w:outlineLvl w:val="1"/>
        <w:rPr>
          <w:rFonts w:ascii="Times New Roman" w:hAnsi="Times New Roman" w:cs="Times New Roman"/>
          <w:sz w:val="24"/>
          <w:szCs w:val="24"/>
        </w:rPr>
      </w:pPr>
      <w:r w:rsidRPr="00A24389">
        <w:rPr>
          <w:rFonts w:ascii="Times New Roman" w:hAnsi="Times New Roman" w:cs="Times New Roman"/>
          <w:b/>
          <w:sz w:val="24"/>
          <w:szCs w:val="24"/>
        </w:rPr>
        <w:t>ТРУД И ЗАНЯТОСТЬ</w:t>
      </w: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lastRenderedPageBreak/>
        <w:t>Утвержден профессиональный стандарт "Медицинская сестра/медицинский брат"</w:t>
      </w:r>
    </w:p>
    <w:p w:rsidR="0054441E" w:rsidRPr="00A24389" w:rsidRDefault="0054441E">
      <w:pPr>
        <w:spacing w:after="1"/>
        <w:rPr>
          <w:rFonts w:ascii="Times New Roman" w:hAnsi="Times New Roman" w:cs="Times New Roman"/>
          <w:sz w:val="24"/>
          <w:szCs w:val="24"/>
        </w:rPr>
      </w:pPr>
    </w:p>
    <w:tbl>
      <w:tblPr>
        <w:tblW w:w="9313"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773"/>
      </w:tblGrid>
      <w:tr w:rsidR="0054441E" w:rsidRPr="00A24389" w:rsidTr="00E817D9">
        <w:trPr>
          <w:trHeight w:val="1021"/>
        </w:trPr>
        <w:tc>
          <w:tcPr>
            <w:tcW w:w="538"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29" style="width:8.85pt;height:11.55pt" coordsize="" o:spt="100" adj="0,,0" path="" filled="f" stroked="f">
                  <v:stroke joinstyle="miter"/>
                  <v:imagedata r:id="rId5" o:title="mem_402"/>
                  <v:formulas/>
                  <v:path o:connecttype="segments"/>
                </v:shape>
              </w:pict>
            </w:r>
          </w:p>
        </w:tc>
        <w:tc>
          <w:tcPr>
            <w:tcW w:w="8775"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17" w:history="1">
              <w:r w:rsidRPr="00A24389">
                <w:rPr>
                  <w:rFonts w:ascii="Times New Roman" w:hAnsi="Times New Roman" w:cs="Times New Roman"/>
                  <w:color w:val="0000FF"/>
                  <w:sz w:val="24"/>
                  <w:szCs w:val="24"/>
                </w:rPr>
                <w:t>Приказ</w:t>
              </w:r>
            </w:hyperlink>
            <w:r w:rsidRPr="00A24389">
              <w:rPr>
                <w:rFonts w:ascii="Times New Roman" w:hAnsi="Times New Roman" w:cs="Times New Roman"/>
                <w:sz w:val="24"/>
                <w:szCs w:val="24"/>
              </w:rPr>
              <w:t xml:space="preserve"> Минтруда России от 31.07.2020 N 475н</w:t>
            </w:r>
            <w:r w:rsidRPr="00A24389">
              <w:rPr>
                <w:rFonts w:ascii="Times New Roman" w:hAnsi="Times New Roman" w:cs="Times New Roman"/>
                <w:sz w:val="24"/>
                <w:szCs w:val="24"/>
              </w:rPr>
              <w:br/>
              <w:t>"Об утверждении профессионального стандарта "Медицинская сестра/медицинский брат"</w:t>
            </w:r>
            <w:r w:rsidRPr="00A24389">
              <w:rPr>
                <w:rFonts w:ascii="Times New Roman" w:hAnsi="Times New Roman" w:cs="Times New Roman"/>
                <w:sz w:val="24"/>
                <w:szCs w:val="24"/>
              </w:rPr>
              <w:br/>
              <w:t>Зарегистрировано в Минюсте России 04.09.2020 N 59649.</w:t>
            </w:r>
          </w:p>
        </w:tc>
      </w:tr>
    </w:tbl>
    <w:p w:rsidR="0054441E" w:rsidRPr="00A24389" w:rsidRDefault="0054441E" w:rsidP="00A24389">
      <w:pPr>
        <w:pStyle w:val="ConsPlusNormal"/>
        <w:jc w:val="both"/>
        <w:rPr>
          <w:rFonts w:ascii="Times New Roman" w:hAnsi="Times New Roman" w:cs="Times New Roman"/>
          <w:sz w:val="24"/>
          <w:szCs w:val="24"/>
        </w:rPr>
      </w:pP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Утвержден профессиональный стандарт "Зубной техник"</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30"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18" w:history="1">
              <w:r w:rsidRPr="00A24389">
                <w:rPr>
                  <w:rFonts w:ascii="Times New Roman" w:hAnsi="Times New Roman" w:cs="Times New Roman"/>
                  <w:color w:val="0000FF"/>
                  <w:sz w:val="24"/>
                  <w:szCs w:val="24"/>
                </w:rPr>
                <w:t>Приказ</w:t>
              </w:r>
            </w:hyperlink>
            <w:r w:rsidRPr="00A24389">
              <w:rPr>
                <w:rFonts w:ascii="Times New Roman" w:hAnsi="Times New Roman" w:cs="Times New Roman"/>
                <w:sz w:val="24"/>
                <w:szCs w:val="24"/>
              </w:rPr>
              <w:t xml:space="preserve"> Минтруда России от 31.07.2020 N 474н</w:t>
            </w:r>
            <w:r w:rsidRPr="00A24389">
              <w:rPr>
                <w:rFonts w:ascii="Times New Roman" w:hAnsi="Times New Roman" w:cs="Times New Roman"/>
                <w:sz w:val="24"/>
                <w:szCs w:val="24"/>
              </w:rPr>
              <w:br/>
              <w:t>"Об утверждении профессионального стандарта "Зубной техник"</w:t>
            </w:r>
            <w:r w:rsidRPr="00A24389">
              <w:rPr>
                <w:rFonts w:ascii="Times New Roman" w:hAnsi="Times New Roman" w:cs="Times New Roman"/>
                <w:sz w:val="24"/>
                <w:szCs w:val="24"/>
              </w:rPr>
              <w:br/>
              <w:t>Зарегистрировано в Минюсте России 04.09.2020 N 59648.</w:t>
            </w:r>
          </w:p>
        </w:tc>
      </w:tr>
    </w:tbl>
    <w:p w:rsidR="0054441E" w:rsidRPr="00A24389" w:rsidRDefault="0054441E">
      <w:pPr>
        <w:pStyle w:val="ConsPlusNormal"/>
        <w:jc w:val="both"/>
        <w:rPr>
          <w:rFonts w:ascii="Times New Roman" w:hAnsi="Times New Roman" w:cs="Times New Roman"/>
          <w:sz w:val="24"/>
          <w:szCs w:val="24"/>
        </w:rPr>
      </w:pPr>
    </w:p>
    <w:p w:rsidR="0054441E" w:rsidRPr="00A24389" w:rsidRDefault="0054441E">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Утвержден профессиональный стандарт "Медицинская сестра по реабилитации"</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31"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19" w:history="1">
              <w:r w:rsidRPr="00A24389">
                <w:rPr>
                  <w:rFonts w:ascii="Times New Roman" w:hAnsi="Times New Roman" w:cs="Times New Roman"/>
                  <w:color w:val="0000FF"/>
                  <w:sz w:val="24"/>
                  <w:szCs w:val="24"/>
                </w:rPr>
                <w:t>Приказ</w:t>
              </w:r>
            </w:hyperlink>
            <w:r w:rsidRPr="00A24389">
              <w:rPr>
                <w:rFonts w:ascii="Times New Roman" w:hAnsi="Times New Roman" w:cs="Times New Roman"/>
                <w:sz w:val="24"/>
                <w:szCs w:val="24"/>
              </w:rPr>
              <w:t xml:space="preserve"> Минтруда России от 31.07.2020 N 476н</w:t>
            </w:r>
            <w:r w:rsidRPr="00A24389">
              <w:rPr>
                <w:rFonts w:ascii="Times New Roman" w:hAnsi="Times New Roman" w:cs="Times New Roman"/>
                <w:sz w:val="24"/>
                <w:szCs w:val="24"/>
              </w:rPr>
              <w:br/>
              <w:t>"Об утверждении профессионального стандарта "Медицинская сестра по реабилитации"</w:t>
            </w:r>
            <w:r w:rsidRPr="00A24389">
              <w:rPr>
                <w:rFonts w:ascii="Times New Roman" w:hAnsi="Times New Roman" w:cs="Times New Roman"/>
                <w:sz w:val="24"/>
                <w:szCs w:val="24"/>
              </w:rPr>
              <w:br/>
              <w:t>Зарегистрировано в Минюсте России 04.09.2020 N 59650.</w:t>
            </w:r>
          </w:p>
        </w:tc>
      </w:tr>
    </w:tbl>
    <w:p w:rsidR="0054441E" w:rsidRPr="00A24389" w:rsidRDefault="0054441E" w:rsidP="00974C65">
      <w:pPr>
        <w:pStyle w:val="ConsPlusNormal"/>
        <w:jc w:val="both"/>
        <w:rPr>
          <w:rFonts w:ascii="Times New Roman" w:hAnsi="Times New Roman" w:cs="Times New Roman"/>
          <w:sz w:val="24"/>
          <w:szCs w:val="24"/>
        </w:rPr>
      </w:pPr>
    </w:p>
    <w:p w:rsidR="0054441E" w:rsidRPr="00A24389" w:rsidRDefault="0054441E">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В 2021 году россияне начнут отдыхать с 31 декабря</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32"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r w:rsidRPr="00A24389">
              <w:rPr>
                <w:rFonts w:ascii="Times New Roman" w:hAnsi="Times New Roman" w:cs="Times New Roman"/>
                <w:sz w:val="24"/>
                <w:szCs w:val="24"/>
              </w:rPr>
              <w:t>&lt;</w:t>
            </w:r>
            <w:hyperlink r:id="rId20" w:history="1">
              <w:r w:rsidRPr="00A24389">
                <w:rPr>
                  <w:rFonts w:ascii="Times New Roman" w:hAnsi="Times New Roman" w:cs="Times New Roman"/>
                  <w:color w:val="0000FF"/>
                  <w:sz w:val="24"/>
                  <w:szCs w:val="24"/>
                </w:rPr>
                <w:t>Информация&gt;</w:t>
              </w:r>
            </w:hyperlink>
            <w:r w:rsidRPr="00A24389">
              <w:rPr>
                <w:rFonts w:ascii="Times New Roman" w:hAnsi="Times New Roman" w:cs="Times New Roman"/>
                <w:sz w:val="24"/>
                <w:szCs w:val="24"/>
              </w:rPr>
              <w:t xml:space="preserve"> Минтруда России</w:t>
            </w:r>
            <w:r w:rsidRPr="00A24389">
              <w:rPr>
                <w:rFonts w:ascii="Times New Roman" w:hAnsi="Times New Roman" w:cs="Times New Roman"/>
                <w:sz w:val="24"/>
                <w:szCs w:val="24"/>
              </w:rPr>
              <w:br/>
              <w:t>"Выходные и праздничные дни в 2021 году: новогодние каникулы продлятся с 1 по 10 января"</w:t>
            </w:r>
          </w:p>
        </w:tc>
      </w:tr>
    </w:tbl>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Минтрудом России предложен порядок переноса выходных дней в 2021 году.</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Поскольку в следующем году несколько праздничных дней совпадают с выходными, предлагается следующий механизм переноса: выходные 2 и 3 января (суббота и воскресенье), совпадающие с нерабочими праздничными днями, перенести на 5 ноября и 31 декабря соответственно. Также предлагается перенести день отдыха с субботы 20 февраля на понедельник 22 февраля.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Таким образом, в 2021 году будут следующие дни отдыха:</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1 по 10 января;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21 по 23 февраля;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6 по 8 марта;</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с 1 по 3 мая и с 8 по 10 мая;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12 по 14 июня;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4 по 7 ноября;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31 декабря.</w:t>
      </w:r>
    </w:p>
    <w:p w:rsidR="0054441E" w:rsidRPr="00A24389" w:rsidRDefault="0054441E">
      <w:pPr>
        <w:pStyle w:val="ConsPlusNormal"/>
        <w:jc w:val="both"/>
        <w:rPr>
          <w:rFonts w:ascii="Times New Roman" w:hAnsi="Times New Roman" w:cs="Times New Roman"/>
          <w:sz w:val="24"/>
          <w:szCs w:val="24"/>
        </w:rPr>
      </w:pPr>
    </w:p>
    <w:p w:rsidR="0054441E" w:rsidRPr="00A24389" w:rsidRDefault="0054441E">
      <w:pPr>
        <w:pStyle w:val="ConsPlusNormal"/>
        <w:jc w:val="both"/>
        <w:rPr>
          <w:rFonts w:ascii="Times New Roman" w:hAnsi="Times New Roman" w:cs="Times New Roman"/>
          <w:sz w:val="24"/>
          <w:szCs w:val="24"/>
        </w:rPr>
      </w:pPr>
      <w:r w:rsidRPr="00A24389">
        <w:rPr>
          <w:rFonts w:ascii="Times New Roman" w:hAnsi="Times New Roman" w:cs="Times New Roman"/>
          <w:b/>
          <w:sz w:val="24"/>
          <w:szCs w:val="24"/>
        </w:rPr>
        <w:t>31 декабря 2021 года предлагается сделать выходным</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33"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21" w:history="1">
              <w:r w:rsidRPr="00A24389">
                <w:rPr>
                  <w:rFonts w:ascii="Times New Roman" w:hAnsi="Times New Roman" w:cs="Times New Roman"/>
                  <w:color w:val="0000FF"/>
                  <w:sz w:val="24"/>
                  <w:szCs w:val="24"/>
                </w:rPr>
                <w:t>Проект</w:t>
              </w:r>
            </w:hyperlink>
            <w:r w:rsidRPr="00A24389">
              <w:rPr>
                <w:rFonts w:ascii="Times New Roman" w:hAnsi="Times New Roman" w:cs="Times New Roman"/>
                <w:sz w:val="24"/>
                <w:szCs w:val="24"/>
              </w:rPr>
              <w:t xml:space="preserve"> Постановления Правительства РФ "О переносе выходных дней в 2021 году"</w:t>
            </w:r>
          </w:p>
        </w:tc>
      </w:tr>
    </w:tbl>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lastRenderedPageBreak/>
        <w:t>Согласно проекту переноса выходных дней в 2021 году, выходные дни 2 и 3 января (суббота и воскресенье), совпадающие с нерабочими праздничными днями в соответствии с частью второй статьи 112 ТК РФ, переносятся на 5 ноября и 31 декабря соответственно.</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Также предлагается перенести день отдыха с субботы 20 февраля на понедельник 22 февраля.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Таким образом, с учетом нормы статьи 112 ТК РФ о переносе выходного дня на следующий после него рабочий день при совпадении выходного и нерабочего праздничного дней в 2021 году будут следующие дни отдыха:</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с 1 по 10 января;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с 21 по 23 февраля;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с 6 по 8 марта;</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с 1 по 3 мая и с 8 по 10 мая;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- 12 по 14 июня;</w:t>
      </w:r>
    </w:p>
    <w:p w:rsidR="0054441E" w:rsidRPr="00A24389" w:rsidRDefault="0054441E" w:rsidP="00974C65">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- 4 по 7 ноября;</w:t>
      </w:r>
    </w:p>
    <w:p w:rsidR="0054441E" w:rsidRPr="00A24389" w:rsidRDefault="00A24389" w:rsidP="00A24389">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- 31 декабря.</w:t>
      </w:r>
    </w:p>
    <w:p w:rsidR="0054441E" w:rsidRPr="00A24389" w:rsidRDefault="0054441E">
      <w:pPr>
        <w:pStyle w:val="ConsPlusNormal"/>
        <w:spacing w:before="220"/>
        <w:jc w:val="both"/>
        <w:rPr>
          <w:rFonts w:ascii="Times New Roman" w:hAnsi="Times New Roman" w:cs="Times New Roman"/>
          <w:sz w:val="24"/>
          <w:szCs w:val="24"/>
        </w:rPr>
      </w:pPr>
      <w:r w:rsidRPr="00A24389">
        <w:rPr>
          <w:rFonts w:ascii="Times New Roman" w:hAnsi="Times New Roman" w:cs="Times New Roman"/>
          <w:b/>
          <w:sz w:val="24"/>
          <w:szCs w:val="24"/>
        </w:rPr>
        <w:t>С 1 октября 2020 г. оплата труда "бюджетников" увеличится на 3 процента</w:t>
      </w:r>
    </w:p>
    <w:p w:rsidR="0054441E" w:rsidRPr="00A24389" w:rsidRDefault="0054441E">
      <w:pPr>
        <w:spacing w:after="1"/>
        <w:rPr>
          <w:rFonts w:ascii="Times New Roman" w:hAnsi="Times New Roman" w:cs="Times New Roman"/>
          <w:sz w:val="24"/>
          <w:szCs w:val="24"/>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540"/>
        <w:gridCol w:w="8814"/>
      </w:tblGrid>
      <w:tr w:rsidR="0054441E" w:rsidRPr="00A24389">
        <w:tc>
          <w:tcPr>
            <w:tcW w:w="540" w:type="dxa"/>
            <w:tcBorders>
              <w:top w:val="nil"/>
              <w:left w:val="nil"/>
              <w:bottom w:val="nil"/>
              <w:right w:val="nil"/>
            </w:tcBorders>
            <w:vAlign w:val="center"/>
          </w:tcPr>
          <w:p w:rsidR="0054441E" w:rsidRPr="00A24389" w:rsidRDefault="0054441E">
            <w:pPr>
              <w:rPr>
                <w:rFonts w:ascii="Times New Roman" w:hAnsi="Times New Roman" w:cs="Times New Roman"/>
                <w:sz w:val="24"/>
                <w:szCs w:val="24"/>
              </w:rPr>
            </w:pPr>
            <w:r w:rsidRPr="00A24389">
              <w:rPr>
                <w:rFonts w:ascii="Times New Roman" w:hAnsi="Times New Roman" w:cs="Times New Roman"/>
                <w:position w:val="-1"/>
                <w:sz w:val="24"/>
                <w:szCs w:val="24"/>
              </w:rPr>
              <w:pict>
                <v:shape id="_x0000_i1034" style="width:8.85pt;height:11.55pt" coordsize="" o:spt="100" adj="0,,0" path="" filled="f" stroked="f">
                  <v:stroke joinstyle="miter"/>
                  <v:imagedata r:id="rId5" o:title="mem_402"/>
                  <v:formulas/>
                  <v:path o:connecttype="segments"/>
                </v:shape>
              </w:pict>
            </w:r>
          </w:p>
        </w:tc>
        <w:tc>
          <w:tcPr>
            <w:tcW w:w="8814" w:type="dxa"/>
            <w:tcBorders>
              <w:top w:val="nil"/>
              <w:left w:val="nil"/>
              <w:bottom w:val="nil"/>
              <w:right w:val="nil"/>
            </w:tcBorders>
          </w:tcPr>
          <w:p w:rsidR="0054441E" w:rsidRPr="00A24389" w:rsidRDefault="0054441E">
            <w:pPr>
              <w:pStyle w:val="ConsPlusNormal"/>
              <w:rPr>
                <w:rFonts w:ascii="Times New Roman" w:hAnsi="Times New Roman" w:cs="Times New Roman"/>
                <w:sz w:val="24"/>
                <w:szCs w:val="24"/>
              </w:rPr>
            </w:pPr>
            <w:hyperlink r:id="rId22" w:history="1">
              <w:r w:rsidRPr="00A24389">
                <w:rPr>
                  <w:rFonts w:ascii="Times New Roman" w:hAnsi="Times New Roman" w:cs="Times New Roman"/>
                  <w:color w:val="0000FF"/>
                  <w:sz w:val="24"/>
                  <w:szCs w:val="24"/>
                </w:rPr>
                <w:t>Распоряжение</w:t>
              </w:r>
            </w:hyperlink>
            <w:r w:rsidRPr="00A24389">
              <w:rPr>
                <w:rFonts w:ascii="Times New Roman" w:hAnsi="Times New Roman" w:cs="Times New Roman"/>
                <w:sz w:val="24"/>
                <w:szCs w:val="24"/>
              </w:rPr>
              <w:t xml:space="preserve"> Правительства РФ от 04.09.2020 N 2250-р</w:t>
            </w:r>
            <w:proofErr w:type="gramStart"/>
            <w:r w:rsidRPr="00A24389">
              <w:rPr>
                <w:rFonts w:ascii="Times New Roman" w:hAnsi="Times New Roman" w:cs="Times New Roman"/>
                <w:sz w:val="24"/>
                <w:szCs w:val="24"/>
              </w:rPr>
              <w:br/>
              <w:t>&lt;О</w:t>
            </w:r>
            <w:proofErr w:type="gramEnd"/>
            <w:r w:rsidRPr="00A24389">
              <w:rPr>
                <w:rFonts w:ascii="Times New Roman" w:hAnsi="Times New Roman" w:cs="Times New Roman"/>
                <w:sz w:val="24"/>
                <w:szCs w:val="24"/>
              </w:rPr>
              <w:t xml:space="preserve"> принятии мер федеральными государственными органами, федеральными государственными учреждениями - главными распорядителями средств федерального бюджета по увеличению с 1 октября 2020 года оплаты труда работников подведомственных учреждений&gt;</w:t>
            </w:r>
          </w:p>
        </w:tc>
      </w:tr>
    </w:tbl>
    <w:p w:rsidR="0054441E" w:rsidRPr="00A24389" w:rsidRDefault="0054441E" w:rsidP="0086083B">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Настоящим Распоряжением федеральным государственным органам и федеральным государственным учреждениям поручено принять меры по увеличению с 1 октября 2020 г. на 3 процента обеспечиваемой за счет средств федерального бюджета оплаты труда:</w:t>
      </w:r>
    </w:p>
    <w:p w:rsidR="0054441E" w:rsidRPr="00A24389" w:rsidRDefault="0054441E" w:rsidP="0086083B">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работников федеральных казенных, бюджетных и автономных учреждений;</w:t>
      </w:r>
    </w:p>
    <w:p w:rsidR="0054441E" w:rsidRPr="00A24389" w:rsidRDefault="0054441E">
      <w:pPr>
        <w:pStyle w:val="ConsPlusNormal"/>
        <w:jc w:val="both"/>
        <w:rPr>
          <w:rFonts w:ascii="Times New Roman" w:hAnsi="Times New Roman" w:cs="Times New Roman"/>
          <w:sz w:val="24"/>
          <w:szCs w:val="24"/>
        </w:rPr>
      </w:pPr>
      <w:r w:rsidRPr="00A24389">
        <w:rPr>
          <w:rFonts w:ascii="Times New Roman" w:hAnsi="Times New Roman" w:cs="Times New Roman"/>
          <w:sz w:val="24"/>
          <w:szCs w:val="24"/>
        </w:rPr>
        <w:t>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в соответствии с Постановлением Правительства РФ от 5 августа 2008 г. N 583.</w:t>
      </w:r>
    </w:p>
    <w:sectPr w:rsidR="0054441E" w:rsidRPr="00A24389" w:rsidSect="0054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E"/>
    <w:rsid w:val="0054441E"/>
    <w:rsid w:val="00692830"/>
    <w:rsid w:val="007A103B"/>
    <w:rsid w:val="0086083B"/>
    <w:rsid w:val="00974C65"/>
    <w:rsid w:val="00A24389"/>
    <w:rsid w:val="00BF3D33"/>
    <w:rsid w:val="00E52BCD"/>
    <w:rsid w:val="00E8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44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41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24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44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41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24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509EE60E0E99BAAA7CF44FB5CDA711105E03A21CC1AD559BBFD11754843A86457A0DF6EA81BF56698770484i4X2G" TargetMode="External"/><Relationship Id="rId13" Type="http://schemas.openxmlformats.org/officeDocument/2006/relationships/hyperlink" Target="consultantplus://offline/ref=2B0509EE60E0E99BAAA7CF44FB5CDA711105E03627CD1AD559BBFD11754843A86457A0DF6EA81BF56698770484i4X2G" TargetMode="External"/><Relationship Id="rId18" Type="http://schemas.openxmlformats.org/officeDocument/2006/relationships/hyperlink" Target="consultantplus://offline/ref=2B0509EE60E0E99BAAA7CF44FB5CDA711105E03527CC1AD559BBFD11754843A86457A0DF6EA81BF56698770484i4X2G" TargetMode="External"/><Relationship Id="rId3" Type="http://schemas.openxmlformats.org/officeDocument/2006/relationships/settings" Target="settings.xml"/><Relationship Id="rId21" Type="http://schemas.openxmlformats.org/officeDocument/2006/relationships/hyperlink" Target="consultantplus://offline/ref=2B0509EE60E0E99BAAA7CD50F9268F221F05E03421C81AD559BBFD11754843A86457A0DF6EA81BF56698770484i4X2G" TargetMode="External"/><Relationship Id="rId7" Type="http://schemas.openxmlformats.org/officeDocument/2006/relationships/image" Target="media/image2.png"/><Relationship Id="rId12" Type="http://schemas.openxmlformats.org/officeDocument/2006/relationships/hyperlink" Target="consultantplus://offline/ref=2B0509EE60E0E99BAAA7CF44FB5CDA711105E0372ACD1AD559BBFD11754843A86457A0DF6EA81BF56698770484i4X2G" TargetMode="External"/><Relationship Id="rId17" Type="http://schemas.openxmlformats.org/officeDocument/2006/relationships/hyperlink" Target="consultantplus://offline/ref=2B0509EE60E0E99BAAA7CF44FB5CDA711105E03426CE1AD559BBFD11754843A86457A0DF6EA81BF56698770484i4X2G" TargetMode="External"/><Relationship Id="rId2" Type="http://schemas.microsoft.com/office/2007/relationships/stylesWithEffects" Target="stylesWithEffects.xml"/><Relationship Id="rId16" Type="http://schemas.openxmlformats.org/officeDocument/2006/relationships/hyperlink" Target="consultantplus://offline/ref=2B0509EE60E0E99BAAA7CF44FB5CDA711105E03A20CC1AD559BBFD11754843A86457A0DF6EA81BF56698770484i4X2G" TargetMode="External"/><Relationship Id="rId20" Type="http://schemas.openxmlformats.org/officeDocument/2006/relationships/hyperlink" Target="consultantplus://offline/ref=2B0509EE60E0E99BAAA7CF44FB5CDA711105E03422CA1AD559BBFD11754843A86457A0DF6EA81BF56698770484i4X2G" TargetMode="External"/><Relationship Id="rId1" Type="http://schemas.openxmlformats.org/officeDocument/2006/relationships/styles" Target="styles.xml"/><Relationship Id="rId6" Type="http://schemas.openxmlformats.org/officeDocument/2006/relationships/hyperlink" Target="consultantplus://offline/ref=2B0509EE60E0E99BAAA7CF44FB5CDA711105E33324CC1AD559BBFD11754843A86457A0DF6EA81BF56698770484i4X2G" TargetMode="External"/><Relationship Id="rId11" Type="http://schemas.openxmlformats.org/officeDocument/2006/relationships/hyperlink" Target="consultantplus://offline/ref=2B0509EE60E0E99BAAA7CF44FB5CDA711105E0342BC61AD559BBFD11754843A86457A0DF6EA81BF56698770484i4X2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B0509EE60E0E99BAAA7CF44FB5CDA711105E03A21CA1AD559BBFD11754843A86457A0DF6EA81BF56698770484i4X2G" TargetMode="External"/><Relationship Id="rId23" Type="http://schemas.openxmlformats.org/officeDocument/2006/relationships/fontTable" Target="fontTable.xml"/><Relationship Id="rId10" Type="http://schemas.openxmlformats.org/officeDocument/2006/relationships/hyperlink" Target="consultantplus://offline/ref=2B0509EE60E0E99BAAA7CF44FB5CDA711105E03B21CD1AD559BBFD11754843A86457A0DF6EA81BF56698770484i4X2G" TargetMode="External"/><Relationship Id="rId19" Type="http://schemas.openxmlformats.org/officeDocument/2006/relationships/hyperlink" Target="consultantplus://offline/ref=2B0509EE60E0E99BAAA7CF44FB5CDA711105E03527CE1AD559BBFD11754843A86457A0DF6EA81BF56698770484i4X2G" TargetMode="External"/><Relationship Id="rId4" Type="http://schemas.openxmlformats.org/officeDocument/2006/relationships/webSettings" Target="webSettings.xml"/><Relationship Id="rId9" Type="http://schemas.openxmlformats.org/officeDocument/2006/relationships/hyperlink" Target="consultantplus://offline/ref=2B0509EE60E0E99BAAA7CF44FB5CDA711105E03A20CE1AD559BBFD11754843A86457A0DF6EA81BF56698770484i4X2G" TargetMode="External"/><Relationship Id="rId14" Type="http://schemas.openxmlformats.org/officeDocument/2006/relationships/hyperlink" Target="consultantplus://offline/ref=2B0509EE60E0E99BAAA7CD4CE3258F221F02E83A22CC118853B3A41D774F4CF76142B18762AF03EB6F8F6B068640i9X3G" TargetMode="External"/><Relationship Id="rId22" Type="http://schemas.openxmlformats.org/officeDocument/2006/relationships/hyperlink" Target="consultantplus://offline/ref=2B0509EE60E0E99BAAA7CF44FB5CDA711105E03624CD1AD559BBFD11754843A86457A0DF6EA81BF56698770484i4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cp:revision>
  <dcterms:created xsi:type="dcterms:W3CDTF">2020-09-16T06:23:00Z</dcterms:created>
  <dcterms:modified xsi:type="dcterms:W3CDTF">2020-09-16T07:25:00Z</dcterms:modified>
</cp:coreProperties>
</file>